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F83D" w14:textId="0D9454F1" w:rsidR="00FC2AF2" w:rsidRPr="00AF1CB2" w:rsidRDefault="00FC2AF2" w:rsidP="00FC2AF2">
      <w:pPr>
        <w:suppressAutoHyphens/>
        <w:autoSpaceDN w:val="0"/>
        <w:jc w:val="both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Bijlage bij Brabants </w:t>
      </w:r>
      <w:r w:rsidRPr="00AF1CB2">
        <w:rPr>
          <w:rFonts w:ascii="Arial" w:hAnsi="Arial" w:cs="Arial"/>
          <w:b/>
          <w:sz w:val="28"/>
          <w:szCs w:val="28"/>
          <w:u w:val="single"/>
        </w:rPr>
        <w:t>Model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358DB">
        <w:rPr>
          <w:rFonts w:ascii="Arial" w:hAnsi="Arial" w:cs="Arial"/>
          <w:b/>
          <w:sz w:val="28"/>
          <w:szCs w:val="28"/>
          <w:u w:val="single"/>
        </w:rPr>
        <w:t xml:space="preserve">intentieovereenkomst en </w:t>
      </w:r>
      <w:r>
        <w:rPr>
          <w:rFonts w:ascii="Arial" w:hAnsi="Arial" w:cs="Arial"/>
          <w:b/>
          <w:sz w:val="28"/>
          <w:szCs w:val="28"/>
          <w:u w:val="single"/>
        </w:rPr>
        <w:t>anterieure overeenkomst</w:t>
      </w:r>
      <w:r w:rsidR="00225DD8">
        <w:rPr>
          <w:rFonts w:ascii="Arial" w:hAnsi="Arial" w:cs="Arial"/>
          <w:b/>
          <w:sz w:val="28"/>
          <w:szCs w:val="28"/>
          <w:u w:val="single"/>
        </w:rPr>
        <w:t xml:space="preserve"> kostenverhaal</w:t>
      </w:r>
      <w:r>
        <w:rPr>
          <w:rFonts w:ascii="Arial" w:hAnsi="Arial" w:cs="Arial"/>
          <w:b/>
          <w:sz w:val="28"/>
          <w:szCs w:val="28"/>
          <w:u w:val="single"/>
        </w:rPr>
        <w:t xml:space="preserve">, versie </w:t>
      </w:r>
      <w:r w:rsidR="000358DB">
        <w:rPr>
          <w:rFonts w:ascii="Arial" w:hAnsi="Arial" w:cs="Arial"/>
          <w:b/>
          <w:sz w:val="28"/>
          <w:szCs w:val="28"/>
          <w:u w:val="single"/>
        </w:rPr>
        <w:t>juni 202</w:t>
      </w:r>
      <w:r w:rsidR="00712C5D">
        <w:rPr>
          <w:rFonts w:ascii="Arial" w:hAnsi="Arial" w:cs="Arial"/>
          <w:b/>
          <w:sz w:val="28"/>
          <w:szCs w:val="28"/>
          <w:u w:val="single"/>
        </w:rPr>
        <w:t>6</w:t>
      </w:r>
    </w:p>
    <w:p w14:paraId="2E0E645D" w14:textId="77777777" w:rsidR="001E4526" w:rsidRDefault="001E4526" w:rsidP="00FB54A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216C4C" w14:textId="3BAE9FCE" w:rsidR="001B4BC0" w:rsidRPr="006024AA" w:rsidRDefault="001B4BC0" w:rsidP="00FB54A5">
      <w:pPr>
        <w:spacing w:after="0" w:line="240" w:lineRule="auto"/>
        <w:jc w:val="both"/>
        <w:rPr>
          <w:rFonts w:ascii="Arial" w:hAnsi="Arial" w:cs="Arial"/>
          <w:b/>
          <w:bCs/>
          <w:color w:val="FF0000"/>
          <w:u w:val="single"/>
        </w:rPr>
      </w:pPr>
      <w:r w:rsidRPr="006024AA">
        <w:rPr>
          <w:rFonts w:ascii="Arial" w:hAnsi="Arial" w:cs="Arial"/>
          <w:b/>
          <w:bCs/>
          <w:color w:val="FF0000"/>
          <w:u w:val="single"/>
        </w:rPr>
        <w:t xml:space="preserve">Bijlage </w:t>
      </w:r>
      <w:r w:rsidR="00FC2AF2" w:rsidRPr="006024AA">
        <w:rPr>
          <w:rFonts w:ascii="Arial" w:hAnsi="Arial" w:cs="Arial"/>
          <w:b/>
          <w:bCs/>
          <w:color w:val="FF0000"/>
          <w:u w:val="single"/>
        </w:rPr>
        <w:t>4</w:t>
      </w:r>
    </w:p>
    <w:p w14:paraId="4F8BC019" w14:textId="6613BA9C" w:rsidR="006024AA" w:rsidRPr="00776692" w:rsidRDefault="001B4BC0" w:rsidP="006024AA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76692">
        <w:rPr>
          <w:rFonts w:ascii="Arial" w:hAnsi="Arial" w:cs="Arial"/>
          <w:i/>
          <w:iCs/>
          <w:sz w:val="20"/>
          <w:szCs w:val="20"/>
        </w:rPr>
        <w:t xml:space="preserve">Behorende bij de </w:t>
      </w:r>
      <w:r w:rsidR="00060676">
        <w:rPr>
          <w:rFonts w:ascii="Arial" w:hAnsi="Arial" w:cs="Arial"/>
          <w:i/>
          <w:iCs/>
          <w:sz w:val="20"/>
          <w:szCs w:val="20"/>
        </w:rPr>
        <w:t>Intentieovereenkomst</w:t>
      </w:r>
      <w:r w:rsidR="003D4CED">
        <w:rPr>
          <w:rFonts w:ascii="Arial" w:hAnsi="Arial" w:cs="Arial"/>
          <w:i/>
          <w:iCs/>
          <w:sz w:val="20"/>
          <w:szCs w:val="20"/>
        </w:rPr>
        <w:t xml:space="preserve"> Initiatiefplan</w:t>
      </w:r>
      <w:r w:rsidR="00FE6502">
        <w:rPr>
          <w:rFonts w:ascii="Arial" w:hAnsi="Arial" w:cs="Arial"/>
          <w:i/>
          <w:iCs/>
          <w:sz w:val="20"/>
          <w:szCs w:val="20"/>
        </w:rPr>
        <w:t xml:space="preserve"> @ d</w:t>
      </w:r>
      <w:r w:rsidR="00C5200E">
        <w:rPr>
          <w:rFonts w:ascii="Arial" w:hAnsi="Arial" w:cs="Arial"/>
          <w:i/>
          <w:iCs/>
          <w:sz w:val="20"/>
          <w:szCs w:val="20"/>
        </w:rPr>
        <w:t>.</w:t>
      </w:r>
      <w:r w:rsidR="00FE6502">
        <w:rPr>
          <w:rFonts w:ascii="Arial" w:hAnsi="Arial" w:cs="Arial"/>
          <w:i/>
          <w:iCs/>
          <w:sz w:val="20"/>
          <w:szCs w:val="20"/>
        </w:rPr>
        <w:t>d</w:t>
      </w:r>
      <w:r w:rsidR="00C5200E">
        <w:rPr>
          <w:rFonts w:ascii="Arial" w:hAnsi="Arial" w:cs="Arial"/>
          <w:i/>
          <w:iCs/>
          <w:sz w:val="20"/>
          <w:szCs w:val="20"/>
        </w:rPr>
        <w:t>.</w:t>
      </w:r>
      <w:r w:rsidR="008C5B6A">
        <w:rPr>
          <w:rFonts w:ascii="Arial" w:hAnsi="Arial" w:cs="Arial"/>
          <w:i/>
          <w:iCs/>
          <w:sz w:val="20"/>
          <w:szCs w:val="20"/>
        </w:rPr>
        <w:t xml:space="preserve"> </w:t>
      </w:r>
      <w:r w:rsidR="00FE6502">
        <w:rPr>
          <w:rFonts w:ascii="Arial" w:hAnsi="Arial" w:cs="Arial"/>
          <w:i/>
          <w:iCs/>
          <w:sz w:val="20"/>
          <w:szCs w:val="20"/>
        </w:rPr>
        <w:t xml:space="preserve">@ en of </w:t>
      </w:r>
      <w:r w:rsidRPr="00776692">
        <w:rPr>
          <w:rFonts w:ascii="Arial" w:hAnsi="Arial" w:cs="Arial"/>
          <w:i/>
          <w:iCs/>
          <w:sz w:val="20"/>
          <w:szCs w:val="20"/>
        </w:rPr>
        <w:t xml:space="preserve">Anterieure overeenkomst voor kostenverhaal </w:t>
      </w:r>
      <w:r w:rsidR="006024AA" w:rsidRPr="00776692">
        <w:rPr>
          <w:rFonts w:ascii="Arial" w:hAnsi="Arial" w:cs="Arial"/>
          <w:i/>
          <w:iCs/>
          <w:sz w:val="20"/>
          <w:szCs w:val="20"/>
        </w:rPr>
        <w:t>Woningbouwplan @ d.d. @</w:t>
      </w:r>
    </w:p>
    <w:p w14:paraId="603FB6CF" w14:textId="3F55510E" w:rsidR="002342AB" w:rsidRPr="00776692" w:rsidRDefault="00B41C49" w:rsidP="00FB54A5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en de Aanvullende Bepalingen Kostenverhaal </w:t>
      </w:r>
    </w:p>
    <w:p w14:paraId="33F0C3AA" w14:textId="77777777" w:rsidR="001B4BC0" w:rsidRPr="00653847" w:rsidRDefault="001B4BC0" w:rsidP="00FB54A5">
      <w:pPr>
        <w:spacing w:after="0" w:line="240" w:lineRule="auto"/>
        <w:jc w:val="both"/>
        <w:rPr>
          <w:rFonts w:ascii="Arial" w:hAnsi="Arial" w:cs="Arial"/>
        </w:rPr>
      </w:pPr>
    </w:p>
    <w:p w14:paraId="71DE4C6D" w14:textId="77777777" w:rsidR="00CA3733" w:rsidRPr="00653847" w:rsidRDefault="00CA3733" w:rsidP="00FB54A5">
      <w:pPr>
        <w:spacing w:after="0" w:line="240" w:lineRule="auto"/>
        <w:jc w:val="both"/>
        <w:rPr>
          <w:rFonts w:ascii="Arial" w:hAnsi="Arial" w:cs="Arial"/>
        </w:rPr>
      </w:pPr>
    </w:p>
    <w:p w14:paraId="0C8083F6" w14:textId="022A8CEB" w:rsidR="001B4BC0" w:rsidRPr="00381C25" w:rsidRDefault="0080513E" w:rsidP="00FB54A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Begrippenl</w:t>
      </w:r>
      <w:r w:rsidR="001B4BC0" w:rsidRPr="00381C25">
        <w:rPr>
          <w:rFonts w:ascii="Arial" w:hAnsi="Arial" w:cs="Arial"/>
          <w:b/>
          <w:bCs/>
          <w:u w:val="single"/>
        </w:rPr>
        <w:t xml:space="preserve">ijst </w:t>
      </w:r>
    </w:p>
    <w:p w14:paraId="78B9DF9E" w14:textId="77777777" w:rsidR="00577D6F" w:rsidRPr="00394AA6" w:rsidRDefault="00577D6F" w:rsidP="00FB54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5A5626" w14:textId="1AB2E080" w:rsidR="00577D6F" w:rsidRPr="00CC2571" w:rsidRDefault="00A065B6" w:rsidP="00FB54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AA6">
        <w:rPr>
          <w:rFonts w:ascii="Arial" w:hAnsi="Arial" w:cs="Arial"/>
          <w:sz w:val="20"/>
          <w:szCs w:val="20"/>
        </w:rPr>
        <w:t>D</w:t>
      </w:r>
      <w:r w:rsidR="00577D6F" w:rsidRPr="00394AA6">
        <w:rPr>
          <w:rFonts w:ascii="Arial" w:hAnsi="Arial" w:cs="Arial"/>
          <w:sz w:val="20"/>
          <w:szCs w:val="20"/>
        </w:rPr>
        <w:t xml:space="preserve">e </w:t>
      </w:r>
      <w:r w:rsidRPr="00CC2571">
        <w:rPr>
          <w:rFonts w:ascii="Arial" w:hAnsi="Arial" w:cs="Arial"/>
          <w:sz w:val="20"/>
          <w:szCs w:val="20"/>
        </w:rPr>
        <w:t xml:space="preserve">Overeenkomst kent </w:t>
      </w:r>
      <w:r w:rsidR="00577D6F" w:rsidRPr="00CC2571">
        <w:rPr>
          <w:rFonts w:ascii="Arial" w:hAnsi="Arial" w:cs="Arial"/>
          <w:sz w:val="20"/>
          <w:szCs w:val="20"/>
        </w:rPr>
        <w:t xml:space="preserve">de volgende definities (in alfabetische </w:t>
      </w:r>
      <w:commentRangeStart w:id="0"/>
      <w:r w:rsidR="00577D6F" w:rsidRPr="00CC2571">
        <w:rPr>
          <w:rFonts w:ascii="Arial" w:hAnsi="Arial" w:cs="Arial"/>
          <w:sz w:val="20"/>
          <w:szCs w:val="20"/>
        </w:rPr>
        <w:t>volgorde</w:t>
      </w:r>
      <w:commentRangeEnd w:id="0"/>
      <w:r w:rsidR="00577D6F" w:rsidRPr="00CC2571">
        <w:rPr>
          <w:rStyle w:val="Verwijzingopmerking"/>
          <w:rFonts w:ascii="Arial" w:hAnsi="Arial" w:cs="Arial"/>
          <w:sz w:val="20"/>
          <w:szCs w:val="20"/>
        </w:rPr>
        <w:commentReference w:id="0"/>
      </w:r>
      <w:r w:rsidR="00577D6F" w:rsidRPr="00CC2571">
        <w:rPr>
          <w:rFonts w:ascii="Arial" w:hAnsi="Arial" w:cs="Arial"/>
          <w:sz w:val="20"/>
          <w:szCs w:val="20"/>
        </w:rPr>
        <w:t>):</w:t>
      </w:r>
    </w:p>
    <w:p w14:paraId="58355786" w14:textId="77777777" w:rsidR="00A065B6" w:rsidRPr="00CC2571" w:rsidRDefault="00A065B6" w:rsidP="00FB54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A7BD21" w14:textId="77777777" w:rsidR="00577D6F" w:rsidRPr="00347FFC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>ABK: Aanvullende Bepalingen Kostenverhaal</w:t>
      </w:r>
    </w:p>
    <w:p w14:paraId="43823F90" w14:textId="442308B2" w:rsidR="003A2A0E" w:rsidRPr="00347FFC" w:rsidRDefault="003A2A0E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>AFM: de Autoriteit Financiële Markten</w:t>
      </w:r>
    </w:p>
    <w:p w14:paraId="1E9C9CB0" w14:textId="454D59FE" w:rsidR="00577D6F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 xml:space="preserve">Awb: </w:t>
      </w:r>
      <w:r w:rsidR="00306036" w:rsidRPr="00347FFC">
        <w:rPr>
          <w:rFonts w:ascii="Arial" w:hAnsi="Arial" w:cs="Arial"/>
          <w:sz w:val="20"/>
          <w:szCs w:val="20"/>
        </w:rPr>
        <w:t xml:space="preserve">de </w:t>
      </w:r>
      <w:r w:rsidRPr="00347FFC">
        <w:rPr>
          <w:rFonts w:ascii="Arial" w:hAnsi="Arial" w:cs="Arial"/>
          <w:sz w:val="20"/>
          <w:szCs w:val="20"/>
        </w:rPr>
        <w:t>Algemene wet bestuursrecht</w:t>
      </w:r>
    </w:p>
    <w:p w14:paraId="58199E6F" w14:textId="5C15B3DD" w:rsidR="00F82DF5" w:rsidRPr="00060676" w:rsidRDefault="00F82DF5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60676">
        <w:rPr>
          <w:rFonts w:ascii="Arial" w:hAnsi="Arial" w:cs="Arial"/>
          <w:sz w:val="20"/>
          <w:szCs w:val="20"/>
        </w:rPr>
        <w:t xml:space="preserve">AOK: Anterieure </w:t>
      </w:r>
      <w:r w:rsidR="00E62DDD" w:rsidRPr="00060676">
        <w:rPr>
          <w:rFonts w:ascii="Arial" w:hAnsi="Arial" w:cs="Arial"/>
          <w:sz w:val="20"/>
          <w:szCs w:val="20"/>
        </w:rPr>
        <w:t>o</w:t>
      </w:r>
      <w:r w:rsidRPr="00060676">
        <w:rPr>
          <w:rFonts w:ascii="Arial" w:hAnsi="Arial" w:cs="Arial"/>
          <w:sz w:val="20"/>
          <w:szCs w:val="20"/>
        </w:rPr>
        <w:t>vereenkomst</w:t>
      </w:r>
      <w:r w:rsidR="005B7C14">
        <w:rPr>
          <w:rFonts w:ascii="Arial" w:hAnsi="Arial" w:cs="Arial"/>
          <w:sz w:val="20"/>
          <w:szCs w:val="20"/>
        </w:rPr>
        <w:t xml:space="preserve"> kostenverhaal</w:t>
      </w:r>
    </w:p>
    <w:p w14:paraId="45EBD648" w14:textId="5759CC4D" w:rsidR="006024AA" w:rsidRPr="000E1E9E" w:rsidRDefault="006024AA" w:rsidP="006024AA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E1E9E">
        <w:rPr>
          <w:rFonts w:ascii="Arial" w:hAnsi="Arial" w:cs="Arial"/>
          <w:sz w:val="20"/>
          <w:szCs w:val="20"/>
          <w:highlight w:val="yellow"/>
        </w:rPr>
        <w:t>Beeldkwaliteitplan</w:t>
      </w:r>
      <w:r w:rsidR="00347FFC" w:rsidRPr="000E1E9E">
        <w:rPr>
          <w:rFonts w:ascii="Arial" w:hAnsi="Arial" w:cs="Arial"/>
          <w:sz w:val="20"/>
          <w:szCs w:val="20"/>
          <w:highlight w:val="yellow"/>
        </w:rPr>
        <w:t>: het Beeldkwaliteitsplan</w:t>
      </w:r>
      <w:r w:rsidRPr="000E1E9E">
        <w:rPr>
          <w:rFonts w:ascii="Arial" w:hAnsi="Arial" w:cs="Arial"/>
          <w:sz w:val="20"/>
          <w:szCs w:val="20"/>
          <w:highlight w:val="yellow"/>
        </w:rPr>
        <w:t xml:space="preserve"> @ d.d. @</w:t>
      </w:r>
    </w:p>
    <w:p w14:paraId="44586B26" w14:textId="2F72F85A" w:rsidR="006024AA" w:rsidRPr="00347FFC" w:rsidRDefault="006024AA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 xml:space="preserve">Besluiten: </w:t>
      </w:r>
      <w:r w:rsidR="00347FFC" w:rsidRPr="00347FFC">
        <w:rPr>
          <w:rFonts w:ascii="Arial" w:hAnsi="Arial" w:cs="Arial"/>
          <w:sz w:val="20"/>
          <w:szCs w:val="20"/>
        </w:rPr>
        <w:t xml:space="preserve">de relevante bestuursrechtelijke procedures (bezwaar/hoger) beroep of voorlopige voorziening), waaronder maar niet beperkt tot </w:t>
      </w:r>
      <w:r w:rsidR="00347FFC" w:rsidRPr="00347FFC">
        <w:rPr>
          <w:rFonts w:ascii="Arial" w:hAnsi="Arial" w:cs="Arial"/>
          <w:sz w:val="20"/>
        </w:rPr>
        <w:t>het vaststellen van een wijziging van het Omgevingsplan of het verlenen van een omgevingsvergunning voor een Buitenplanse omgevingsplan activiteit (</w:t>
      </w:r>
      <w:r w:rsidR="00347FFC" w:rsidRPr="00347FFC">
        <w:rPr>
          <w:rFonts w:ascii="Arial" w:hAnsi="Arial" w:cs="Arial"/>
          <w:b/>
          <w:bCs/>
          <w:sz w:val="20"/>
        </w:rPr>
        <w:t>Bopa</w:t>
      </w:r>
      <w:r w:rsidR="00347FFC" w:rsidRPr="00347FFC">
        <w:rPr>
          <w:rFonts w:ascii="Arial" w:hAnsi="Arial" w:cs="Arial"/>
          <w:sz w:val="20"/>
        </w:rPr>
        <w:t xml:space="preserve">) en/of het verlenen van andere benodigde </w:t>
      </w:r>
      <w:r w:rsidR="00347FFC" w:rsidRPr="00347FFC">
        <w:rPr>
          <w:rFonts w:ascii="Arial" w:hAnsi="Arial" w:cs="Arial"/>
          <w:sz w:val="20"/>
          <w:szCs w:val="20"/>
        </w:rPr>
        <w:t>vergunningen, ontheffingen, vrijstellingen of goedkeuringen.</w:t>
      </w:r>
    </w:p>
    <w:p w14:paraId="7933C21C" w14:textId="0CBD350B" w:rsidR="00577D6F" w:rsidRPr="00347FFC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 xml:space="preserve">Betrokken percelen: </w:t>
      </w:r>
      <w:r w:rsidR="00347FFC">
        <w:rPr>
          <w:rFonts w:ascii="Arial" w:hAnsi="Arial" w:cs="Arial"/>
          <w:sz w:val="20"/>
          <w:szCs w:val="20"/>
        </w:rPr>
        <w:t xml:space="preserve">de in de Overeenkomst genoemde percelen waar het Woningbouwplan gerealiseerd wordt en </w:t>
      </w:r>
      <w:r w:rsidR="00D90E1B">
        <w:rPr>
          <w:rFonts w:ascii="Arial" w:hAnsi="Arial" w:cs="Arial"/>
          <w:sz w:val="20"/>
          <w:szCs w:val="20"/>
        </w:rPr>
        <w:t xml:space="preserve">de </w:t>
      </w:r>
      <w:r w:rsidR="00EF0231">
        <w:rPr>
          <w:rFonts w:ascii="Arial" w:hAnsi="Arial" w:cs="Arial"/>
          <w:sz w:val="20"/>
          <w:szCs w:val="20"/>
        </w:rPr>
        <w:t>(toekomstige) Openbare ruimte wordt aangelegd of gewijzigd.</w:t>
      </w:r>
      <w:r w:rsidR="00347FFC">
        <w:rPr>
          <w:rFonts w:ascii="Arial" w:hAnsi="Arial" w:cs="Arial"/>
          <w:sz w:val="20"/>
          <w:szCs w:val="20"/>
        </w:rPr>
        <w:t xml:space="preserve"> </w:t>
      </w:r>
    </w:p>
    <w:p w14:paraId="17C3FD51" w14:textId="280BF70A" w:rsidR="00577D6F" w:rsidRPr="00347FFC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>Bopa: Buitenplanse omgevingsplan activiteit; een activiteit die niet past binnen het Omgevingsplan of niet vergunningsvrij is.</w:t>
      </w:r>
    </w:p>
    <w:p w14:paraId="54D9CFB6" w14:textId="522A8A3E" w:rsidR="00577D6F" w:rsidRPr="00EF0231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EF0231">
        <w:rPr>
          <w:rFonts w:ascii="Arial" w:hAnsi="Arial" w:cs="Arial"/>
          <w:sz w:val="20"/>
          <w:szCs w:val="20"/>
          <w:highlight w:val="yellow"/>
        </w:rPr>
        <w:t>Bouwrijp maken:</w:t>
      </w:r>
      <w:r w:rsidR="00EF0231" w:rsidRPr="00EF023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225B3B">
        <w:rPr>
          <w:rFonts w:ascii="Arial" w:hAnsi="Arial" w:cs="Arial"/>
          <w:sz w:val="20"/>
          <w:szCs w:val="20"/>
          <w:highlight w:val="yellow"/>
        </w:rPr>
        <w:t xml:space="preserve">het geschikt maken van de </w:t>
      </w:r>
      <w:r w:rsidR="00C616A9">
        <w:rPr>
          <w:rFonts w:ascii="Arial" w:hAnsi="Arial" w:cs="Arial"/>
          <w:sz w:val="20"/>
          <w:szCs w:val="20"/>
          <w:highlight w:val="yellow"/>
        </w:rPr>
        <w:t xml:space="preserve">Betrokken Percelen voor </w:t>
      </w:r>
      <w:r w:rsidR="00C55719">
        <w:rPr>
          <w:rFonts w:ascii="Arial" w:hAnsi="Arial" w:cs="Arial"/>
          <w:sz w:val="20"/>
          <w:szCs w:val="20"/>
          <w:highlight w:val="yellow"/>
        </w:rPr>
        <w:t>het Woningbouwplan en de (toekomstige) Openbare ruimte</w:t>
      </w:r>
      <w:r w:rsidR="00C616A9">
        <w:rPr>
          <w:rFonts w:ascii="Arial" w:hAnsi="Arial" w:cs="Arial"/>
          <w:sz w:val="20"/>
          <w:szCs w:val="20"/>
          <w:highlight w:val="yellow"/>
        </w:rPr>
        <w:t xml:space="preserve"> dit betreft @.</w:t>
      </w:r>
    </w:p>
    <w:p w14:paraId="7266C3C0" w14:textId="25D033D8" w:rsidR="00306036" w:rsidRPr="00EF0231" w:rsidRDefault="00306036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EF0231">
        <w:rPr>
          <w:rFonts w:ascii="Arial" w:hAnsi="Arial" w:cs="Arial"/>
          <w:sz w:val="20"/>
          <w:szCs w:val="20"/>
          <w:highlight w:val="yellow"/>
        </w:rPr>
        <w:t>Bovenwijkse voorzieningen:</w:t>
      </w:r>
      <w:r w:rsidR="00207E38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616A9">
        <w:rPr>
          <w:rFonts w:ascii="Arial" w:hAnsi="Arial" w:cs="Arial"/>
          <w:sz w:val="20"/>
          <w:szCs w:val="20"/>
          <w:highlight w:val="yellow"/>
        </w:rPr>
        <w:t xml:space="preserve">de </w:t>
      </w:r>
      <w:r w:rsidR="005F212B">
        <w:rPr>
          <w:rFonts w:ascii="Arial" w:hAnsi="Arial" w:cs="Arial"/>
          <w:sz w:val="20"/>
          <w:szCs w:val="20"/>
          <w:highlight w:val="yellow"/>
        </w:rPr>
        <w:t xml:space="preserve">werken, werkzaamheden en maatregelen die noodzakelijk zijn voor het Woningbouwplan </w:t>
      </w:r>
      <w:r w:rsidR="00962BB5">
        <w:rPr>
          <w:rFonts w:ascii="Arial" w:hAnsi="Arial" w:cs="Arial"/>
          <w:sz w:val="20"/>
          <w:szCs w:val="20"/>
          <w:highlight w:val="yellow"/>
        </w:rPr>
        <w:t>betreffende @ (gebiedseigen) en @ (gebiedsoverstijgend).</w:t>
      </w:r>
    </w:p>
    <w:p w14:paraId="7B596838" w14:textId="329C3C7E" w:rsidR="00924D20" w:rsidRPr="00347FFC" w:rsidRDefault="00924D20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 xml:space="preserve">BW: </w:t>
      </w:r>
      <w:r w:rsidR="00EF0231">
        <w:rPr>
          <w:rFonts w:ascii="Arial" w:hAnsi="Arial" w:cs="Arial"/>
          <w:sz w:val="20"/>
          <w:szCs w:val="20"/>
        </w:rPr>
        <w:t xml:space="preserve">het </w:t>
      </w:r>
      <w:r w:rsidRPr="00347FFC">
        <w:rPr>
          <w:rFonts w:ascii="Arial" w:hAnsi="Arial" w:cs="Arial"/>
          <w:sz w:val="20"/>
          <w:szCs w:val="20"/>
        </w:rPr>
        <w:t>Burgerlijk Wetboek</w:t>
      </w:r>
    </w:p>
    <w:p w14:paraId="4302574D" w14:textId="77777777" w:rsidR="00577D6F" w:rsidRPr="000E1E9E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E1E9E">
        <w:rPr>
          <w:rFonts w:ascii="Arial" w:hAnsi="Arial" w:cs="Arial"/>
          <w:sz w:val="20"/>
          <w:szCs w:val="20"/>
          <w:highlight w:val="yellow"/>
        </w:rPr>
        <w:t>College: het college van burgemeester en wethouders van de gemeente @</w:t>
      </w:r>
    </w:p>
    <w:p w14:paraId="53A58DE5" w14:textId="5BA36F88" w:rsidR="00577D6F" w:rsidRPr="00347FFC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 xml:space="preserve">CPI: </w:t>
      </w:r>
      <w:r w:rsidR="00EF0231">
        <w:rPr>
          <w:rFonts w:ascii="Arial" w:hAnsi="Arial" w:cs="Arial"/>
          <w:sz w:val="20"/>
          <w:szCs w:val="20"/>
        </w:rPr>
        <w:t xml:space="preserve">het </w:t>
      </w:r>
      <w:r w:rsidRPr="00347FFC">
        <w:rPr>
          <w:rFonts w:ascii="Arial" w:hAnsi="Arial" w:cs="Arial"/>
          <w:sz w:val="20"/>
          <w:szCs w:val="20"/>
        </w:rPr>
        <w:t>Consumenten Prijs Index</w:t>
      </w:r>
    </w:p>
    <w:p w14:paraId="6CFADDD3" w14:textId="317A8BAE" w:rsidR="003A2A0E" w:rsidRPr="00347FFC" w:rsidRDefault="003A2A0E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>DNB: De Nederlandse Bank</w:t>
      </w:r>
    </w:p>
    <w:p w14:paraId="7C01B7DB" w14:textId="4D2058C8" w:rsidR="00B41C49" w:rsidRPr="00347FFC" w:rsidRDefault="00B41C49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>DO: het Definitief Ontwerp</w:t>
      </w:r>
    </w:p>
    <w:p w14:paraId="11416E26" w14:textId="721DCB00" w:rsidR="00577D6F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E1E9E">
        <w:rPr>
          <w:rFonts w:ascii="Arial" w:hAnsi="Arial" w:cs="Arial"/>
          <w:sz w:val="20"/>
          <w:szCs w:val="20"/>
          <w:highlight w:val="yellow"/>
        </w:rPr>
        <w:t>Gemeente: de gemeente @</w:t>
      </w:r>
    </w:p>
    <w:p w14:paraId="1A5A67EC" w14:textId="300303E0" w:rsidR="00683E4E" w:rsidRPr="005F6230" w:rsidRDefault="00683E4E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F6230">
        <w:rPr>
          <w:rFonts w:ascii="Arial" w:hAnsi="Arial" w:cs="Arial"/>
          <w:sz w:val="20"/>
          <w:szCs w:val="20"/>
        </w:rPr>
        <w:t xml:space="preserve">Go/No-Go besluit: </w:t>
      </w:r>
      <w:r w:rsidR="00760402" w:rsidRPr="005F6230">
        <w:rPr>
          <w:rFonts w:ascii="Arial" w:hAnsi="Arial" w:cs="Arial"/>
          <w:sz w:val="20"/>
          <w:szCs w:val="20"/>
        </w:rPr>
        <w:t xml:space="preserve">het besluit </w:t>
      </w:r>
      <w:r w:rsidR="00FF1848" w:rsidRPr="005F6230">
        <w:rPr>
          <w:rFonts w:ascii="Arial" w:hAnsi="Arial" w:cs="Arial"/>
          <w:sz w:val="20"/>
          <w:szCs w:val="20"/>
        </w:rPr>
        <w:t>van de Partijen om na afronding van het Haalbaarheidsonderzoek</w:t>
      </w:r>
      <w:r w:rsidR="000077D3" w:rsidRPr="005F6230">
        <w:rPr>
          <w:rFonts w:ascii="Arial" w:hAnsi="Arial" w:cs="Arial"/>
          <w:sz w:val="20"/>
          <w:szCs w:val="20"/>
        </w:rPr>
        <w:t xml:space="preserve"> een AOK aan te gaan en</w:t>
      </w:r>
      <w:r w:rsidR="00FF1848" w:rsidRPr="005F6230">
        <w:rPr>
          <w:rFonts w:ascii="Arial" w:hAnsi="Arial" w:cs="Arial"/>
          <w:sz w:val="20"/>
          <w:szCs w:val="20"/>
        </w:rPr>
        <w:t xml:space="preserve"> </w:t>
      </w:r>
      <w:r w:rsidR="00EB3961" w:rsidRPr="005F6230">
        <w:rPr>
          <w:rFonts w:ascii="Arial" w:hAnsi="Arial" w:cs="Arial"/>
          <w:sz w:val="20"/>
          <w:szCs w:val="20"/>
        </w:rPr>
        <w:t>het Initiatiefplan verder te brengen tot een Definitief Ontwerp (DO) en een Planologisch besluit in procedure te brengen</w:t>
      </w:r>
      <w:r w:rsidR="000077D3" w:rsidRPr="005F6230">
        <w:rPr>
          <w:rFonts w:ascii="Arial" w:hAnsi="Arial" w:cs="Arial"/>
          <w:sz w:val="20"/>
          <w:szCs w:val="20"/>
        </w:rPr>
        <w:t>.</w:t>
      </w:r>
    </w:p>
    <w:p w14:paraId="162B671F" w14:textId="77777777" w:rsidR="00577D6F" w:rsidRPr="005F6230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F6230">
        <w:rPr>
          <w:rFonts w:ascii="Arial" w:hAnsi="Arial" w:cs="Arial"/>
          <w:sz w:val="20"/>
          <w:szCs w:val="20"/>
        </w:rPr>
        <w:t xml:space="preserve">GWW: de risicoregeling Grond, Weg en Waterbouw </w:t>
      </w:r>
    </w:p>
    <w:p w14:paraId="177447B7" w14:textId="53B2DD6F" w:rsidR="00724334" w:rsidRPr="005F6230" w:rsidRDefault="00724334" w:rsidP="00B41C49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F6230">
        <w:rPr>
          <w:rFonts w:ascii="Arial" w:hAnsi="Arial" w:cs="Arial"/>
          <w:sz w:val="20"/>
          <w:szCs w:val="20"/>
        </w:rPr>
        <w:t xml:space="preserve">Haalbaarheidsonderzoek: </w:t>
      </w:r>
      <w:r w:rsidR="009838A9" w:rsidRPr="005F6230">
        <w:rPr>
          <w:rFonts w:ascii="Arial" w:hAnsi="Arial" w:cs="Arial"/>
          <w:sz w:val="20"/>
        </w:rPr>
        <w:t>de verkenning</w:t>
      </w:r>
      <w:r w:rsidR="00E302F0" w:rsidRPr="005F6230">
        <w:rPr>
          <w:rFonts w:ascii="Arial" w:hAnsi="Arial" w:cs="Arial"/>
          <w:sz w:val="20"/>
        </w:rPr>
        <w:t xml:space="preserve"> van de Partijen om te kunnen bepalen of</w:t>
      </w:r>
      <w:r w:rsidR="009838A9" w:rsidRPr="005F6230">
        <w:rPr>
          <w:rFonts w:ascii="Arial" w:hAnsi="Arial" w:cs="Arial"/>
          <w:sz w:val="20"/>
        </w:rPr>
        <w:t xml:space="preserve"> het Initiatiefplan ruimtelijk (stedenbouwkundig en planologisch), financieel en maatschappelijk uitvoerbaar is binnen de randvoorwaarden, uitgangspunten en beleidskaders die de Gemeente relevant acht voor de verdere ontwikkeling van het Initiatief</w:t>
      </w:r>
      <w:r w:rsidR="00E551A1" w:rsidRPr="005F6230">
        <w:rPr>
          <w:rFonts w:ascii="Arial" w:hAnsi="Arial" w:cs="Arial"/>
          <w:sz w:val="20"/>
        </w:rPr>
        <w:t xml:space="preserve">. </w:t>
      </w:r>
    </w:p>
    <w:p w14:paraId="50FBD6A7" w14:textId="11F24CAD" w:rsidR="00B41C49" w:rsidRPr="005F6230" w:rsidRDefault="00B41C49" w:rsidP="00B41C49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5F6230">
        <w:rPr>
          <w:rFonts w:ascii="Arial" w:hAnsi="Arial" w:cs="Arial"/>
          <w:sz w:val="20"/>
          <w:szCs w:val="20"/>
          <w:highlight w:val="yellow"/>
        </w:rPr>
        <w:t>Initiatiefnemer:</w:t>
      </w:r>
      <w:r w:rsidR="00207E38" w:rsidRPr="005F623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C0C03" w:rsidRPr="005F6230">
        <w:rPr>
          <w:rFonts w:ascii="Arial" w:hAnsi="Arial" w:cs="Arial"/>
          <w:sz w:val="20"/>
          <w:szCs w:val="20"/>
          <w:highlight w:val="yellow"/>
        </w:rPr>
        <w:t>de besloten vennootschap @ of de heer/mevrouw @</w:t>
      </w:r>
      <w:r w:rsidR="00891C5F" w:rsidRPr="005F6230">
        <w:rPr>
          <w:rFonts w:ascii="Arial" w:hAnsi="Arial" w:cs="Arial"/>
          <w:sz w:val="20"/>
          <w:szCs w:val="20"/>
          <w:highlight w:val="yellow"/>
        </w:rPr>
        <w:t>.</w:t>
      </w:r>
    </w:p>
    <w:p w14:paraId="2E3FFF2A" w14:textId="3B6C5CDC" w:rsidR="002648E1" w:rsidRPr="005F6230" w:rsidRDefault="002648E1" w:rsidP="00B41C49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F6230">
        <w:rPr>
          <w:rFonts w:ascii="Arial" w:hAnsi="Arial" w:cs="Arial"/>
          <w:sz w:val="20"/>
          <w:szCs w:val="20"/>
        </w:rPr>
        <w:t xml:space="preserve">Initiatiefplan: </w:t>
      </w:r>
      <w:r w:rsidR="005F23AE" w:rsidRPr="005F6230">
        <w:rPr>
          <w:rFonts w:ascii="Arial" w:hAnsi="Arial" w:cs="Arial"/>
          <w:sz w:val="20"/>
          <w:szCs w:val="20"/>
        </w:rPr>
        <w:t xml:space="preserve">het bouwplan dat de Initiatiefnemer voornemens is te realiseren. </w:t>
      </w:r>
    </w:p>
    <w:p w14:paraId="40C0BBA8" w14:textId="732E6AF6" w:rsidR="004F0A2E" w:rsidRPr="005F6230" w:rsidRDefault="004F0A2E" w:rsidP="00B41C49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F6230">
        <w:rPr>
          <w:rFonts w:ascii="Arial" w:hAnsi="Arial" w:cs="Arial"/>
          <w:sz w:val="20"/>
          <w:szCs w:val="20"/>
        </w:rPr>
        <w:t xml:space="preserve">IOK: Intentie </w:t>
      </w:r>
      <w:r w:rsidR="00E62DDD" w:rsidRPr="005F6230">
        <w:rPr>
          <w:rFonts w:ascii="Arial" w:hAnsi="Arial" w:cs="Arial"/>
          <w:sz w:val="20"/>
          <w:szCs w:val="20"/>
        </w:rPr>
        <w:t>o</w:t>
      </w:r>
      <w:r w:rsidRPr="005F6230">
        <w:rPr>
          <w:rFonts w:ascii="Arial" w:hAnsi="Arial" w:cs="Arial"/>
          <w:sz w:val="20"/>
          <w:szCs w:val="20"/>
        </w:rPr>
        <w:t>vereenkomst</w:t>
      </w:r>
      <w:r w:rsidR="005F6230" w:rsidRPr="005F6230">
        <w:rPr>
          <w:rFonts w:ascii="Arial" w:hAnsi="Arial" w:cs="Arial"/>
          <w:sz w:val="20"/>
          <w:szCs w:val="20"/>
        </w:rPr>
        <w:t xml:space="preserve"> kostenverhaal</w:t>
      </w:r>
    </w:p>
    <w:p w14:paraId="5F7B701F" w14:textId="1DB81B37" w:rsidR="00525FF6" w:rsidRPr="005F6230" w:rsidRDefault="00525FF6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5F6230">
        <w:rPr>
          <w:rFonts w:ascii="Arial" w:hAnsi="Arial" w:cs="Arial"/>
          <w:sz w:val="20"/>
          <w:szCs w:val="20"/>
          <w:highlight w:val="yellow"/>
        </w:rPr>
        <w:t xml:space="preserve">Kader: </w:t>
      </w:r>
      <w:r w:rsidR="00E551A1" w:rsidRPr="005F6230">
        <w:rPr>
          <w:rFonts w:ascii="Arial" w:hAnsi="Arial" w:cs="Arial"/>
          <w:sz w:val="20"/>
          <w:highlight w:val="yellow"/>
        </w:rPr>
        <w:t>de randvoorwaarden, uitgangspunten en beleidskaders vastgesteld door de Gemeente en @.</w:t>
      </w:r>
    </w:p>
    <w:p w14:paraId="5DB54F1B" w14:textId="5B7981F5" w:rsidR="00F6276E" w:rsidRPr="00EF0231" w:rsidRDefault="00F6276E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EF0231">
        <w:rPr>
          <w:rFonts w:ascii="Arial" w:hAnsi="Arial" w:cs="Arial"/>
          <w:sz w:val="20"/>
          <w:szCs w:val="20"/>
          <w:highlight w:val="yellow"/>
        </w:rPr>
        <w:t>Kostenverhaalsgebied:</w:t>
      </w:r>
      <w:r w:rsidR="003A2A0E" w:rsidRPr="00EF023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F5674">
        <w:rPr>
          <w:rFonts w:ascii="Arial" w:hAnsi="Arial" w:cs="Arial"/>
          <w:sz w:val="20"/>
          <w:szCs w:val="20"/>
          <w:highlight w:val="yellow"/>
        </w:rPr>
        <w:t>het gebied waarin de kosten worden gemaakt</w:t>
      </w:r>
      <w:r w:rsidR="006B5A9B">
        <w:rPr>
          <w:rFonts w:ascii="Arial" w:hAnsi="Arial" w:cs="Arial"/>
          <w:sz w:val="20"/>
          <w:szCs w:val="20"/>
          <w:highlight w:val="yellow"/>
        </w:rPr>
        <w:t xml:space="preserve"> gelegen tussen @ en @</w:t>
      </w:r>
      <w:r w:rsidR="005F5674">
        <w:rPr>
          <w:rFonts w:ascii="Arial" w:hAnsi="Arial" w:cs="Arial"/>
          <w:sz w:val="20"/>
          <w:szCs w:val="20"/>
          <w:highlight w:val="yellow"/>
        </w:rPr>
        <w:t>.</w:t>
      </w:r>
    </w:p>
    <w:p w14:paraId="6ECE57E9" w14:textId="52CCDDB4" w:rsidR="00B41C49" w:rsidRPr="00EF0231" w:rsidRDefault="00B41C49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EF0231">
        <w:rPr>
          <w:rFonts w:ascii="Arial" w:hAnsi="Arial" w:cs="Arial"/>
          <w:sz w:val="20"/>
          <w:szCs w:val="20"/>
          <w:highlight w:val="yellow"/>
        </w:rPr>
        <w:t xml:space="preserve">Kostenverhaalsmodule: </w:t>
      </w:r>
      <w:r w:rsidR="003E1763">
        <w:rPr>
          <w:rFonts w:ascii="Arial" w:hAnsi="Arial" w:cs="Arial"/>
          <w:sz w:val="20"/>
          <w:szCs w:val="20"/>
          <w:highlight w:val="yellow"/>
        </w:rPr>
        <w:t xml:space="preserve">de </w:t>
      </w:r>
      <w:r w:rsidR="00A05CD0">
        <w:rPr>
          <w:rFonts w:ascii="Arial" w:hAnsi="Arial" w:cs="Arial"/>
          <w:sz w:val="20"/>
          <w:szCs w:val="20"/>
          <w:highlight w:val="yellow"/>
        </w:rPr>
        <w:t xml:space="preserve">specificatie van de </w:t>
      </w:r>
      <w:r w:rsidR="003E1763">
        <w:rPr>
          <w:rFonts w:ascii="Arial" w:hAnsi="Arial" w:cs="Arial"/>
          <w:sz w:val="20"/>
          <w:szCs w:val="20"/>
          <w:highlight w:val="yellow"/>
        </w:rPr>
        <w:t xml:space="preserve">kosten en bijdragen </w:t>
      </w:r>
      <w:r w:rsidR="00A05CD0">
        <w:rPr>
          <w:rFonts w:ascii="Arial" w:hAnsi="Arial" w:cs="Arial"/>
          <w:sz w:val="20"/>
          <w:szCs w:val="20"/>
          <w:highlight w:val="yellow"/>
        </w:rPr>
        <w:t xml:space="preserve">die voor rekening komen van de </w:t>
      </w:r>
      <w:r w:rsidR="002C6A72">
        <w:rPr>
          <w:rFonts w:ascii="Arial" w:hAnsi="Arial" w:cs="Arial"/>
          <w:sz w:val="20"/>
          <w:szCs w:val="20"/>
          <w:highlight w:val="yellow"/>
        </w:rPr>
        <w:t>Initiatiefnemer opgenomen in @.</w:t>
      </w:r>
    </w:p>
    <w:p w14:paraId="25E0827B" w14:textId="77777777" w:rsidR="00B41C49" w:rsidRPr="00347FFC" w:rsidRDefault="00B41C49" w:rsidP="00B41C49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>Lijst: deze begrippenlijst behorende bij de Overeenkomst en de ABK.</w:t>
      </w:r>
    </w:p>
    <w:p w14:paraId="78820256" w14:textId="3B4106B8" w:rsidR="00577D6F" w:rsidRPr="00347FFC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 xml:space="preserve">NAP: </w:t>
      </w:r>
      <w:r w:rsidR="00B41C49" w:rsidRPr="00347FFC">
        <w:rPr>
          <w:rFonts w:ascii="Arial" w:hAnsi="Arial" w:cs="Arial"/>
          <w:sz w:val="20"/>
          <w:szCs w:val="20"/>
        </w:rPr>
        <w:t xml:space="preserve">het </w:t>
      </w:r>
      <w:r w:rsidRPr="00347FFC">
        <w:rPr>
          <w:rFonts w:ascii="Arial" w:hAnsi="Arial" w:cs="Arial"/>
          <w:sz w:val="20"/>
          <w:szCs w:val="20"/>
        </w:rPr>
        <w:t>Nieuw Amsterdams Peil</w:t>
      </w:r>
    </w:p>
    <w:p w14:paraId="6049ACD1" w14:textId="0427F9C7" w:rsidR="00577D6F" w:rsidRPr="00347FFC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 xml:space="preserve">Ob: </w:t>
      </w:r>
      <w:r w:rsidR="00B41C49" w:rsidRPr="00347FFC">
        <w:rPr>
          <w:rFonts w:ascii="Arial" w:hAnsi="Arial" w:cs="Arial"/>
          <w:sz w:val="20"/>
          <w:szCs w:val="20"/>
        </w:rPr>
        <w:t xml:space="preserve">het </w:t>
      </w:r>
      <w:r w:rsidRPr="00347FFC">
        <w:rPr>
          <w:rFonts w:ascii="Arial" w:hAnsi="Arial" w:cs="Arial"/>
          <w:sz w:val="20"/>
          <w:szCs w:val="20"/>
        </w:rPr>
        <w:t>Omgevingsbesluit</w:t>
      </w:r>
    </w:p>
    <w:p w14:paraId="0577AB4A" w14:textId="414DE655" w:rsidR="00577D6F" w:rsidRPr="0053382F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53382F">
        <w:rPr>
          <w:rFonts w:ascii="Arial" w:hAnsi="Arial" w:cs="Arial"/>
          <w:sz w:val="20"/>
          <w:szCs w:val="20"/>
          <w:highlight w:val="yellow"/>
        </w:rPr>
        <w:lastRenderedPageBreak/>
        <w:t xml:space="preserve">(toekomstige) Openbare ruimte: </w:t>
      </w:r>
      <w:r w:rsidR="0053382F" w:rsidRPr="0053382F">
        <w:rPr>
          <w:rFonts w:ascii="Arial" w:hAnsi="Arial" w:cs="Arial"/>
          <w:sz w:val="20"/>
          <w:szCs w:val="20"/>
          <w:highlight w:val="yellow"/>
        </w:rPr>
        <w:t>de niet uitgeefbare gronden gelegen binnen aan @ en @.</w:t>
      </w:r>
    </w:p>
    <w:p w14:paraId="4CBCA5B8" w14:textId="3DB71487" w:rsidR="00306036" w:rsidRPr="00EF0231" w:rsidRDefault="00306036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EF0231">
        <w:rPr>
          <w:rFonts w:ascii="Arial" w:hAnsi="Arial" w:cs="Arial"/>
          <w:sz w:val="20"/>
          <w:szCs w:val="20"/>
          <w:highlight w:val="yellow"/>
        </w:rPr>
        <w:t>Ophogen/Voorbelasten:</w:t>
      </w:r>
      <w:r w:rsidR="00207E38">
        <w:rPr>
          <w:rFonts w:ascii="Arial" w:hAnsi="Arial" w:cs="Arial"/>
          <w:sz w:val="20"/>
          <w:szCs w:val="20"/>
          <w:highlight w:val="yellow"/>
        </w:rPr>
        <w:t xml:space="preserve"> @</w:t>
      </w:r>
    </w:p>
    <w:p w14:paraId="5AF2F5CC" w14:textId="504D9F25" w:rsidR="00577D6F" w:rsidRPr="00D13CC6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D13CC6">
        <w:rPr>
          <w:rFonts w:ascii="Arial" w:hAnsi="Arial" w:cs="Arial"/>
          <w:sz w:val="20"/>
          <w:szCs w:val="20"/>
          <w:highlight w:val="yellow"/>
        </w:rPr>
        <w:t xml:space="preserve">Omgevingsplan: </w:t>
      </w:r>
      <w:r w:rsidR="00EF0231" w:rsidRPr="00D13CC6">
        <w:rPr>
          <w:rFonts w:ascii="Arial" w:hAnsi="Arial" w:cs="Arial"/>
          <w:sz w:val="20"/>
          <w:szCs w:val="20"/>
          <w:highlight w:val="yellow"/>
        </w:rPr>
        <w:t>het vigerende Omgevingsplan @ en de wijziging daarvan</w:t>
      </w:r>
      <w:r w:rsidR="00C477E4" w:rsidRPr="00D13CC6">
        <w:rPr>
          <w:rFonts w:ascii="Arial" w:hAnsi="Arial" w:cs="Arial"/>
          <w:sz w:val="20"/>
          <w:szCs w:val="20"/>
          <w:highlight w:val="yellow"/>
        </w:rPr>
        <w:t xml:space="preserve">; het omgevingsplan als bedoeld in artikel 2.4 van de </w:t>
      </w:r>
      <w:r w:rsidR="00C6618F" w:rsidRPr="00D13CC6">
        <w:rPr>
          <w:rFonts w:ascii="Arial" w:hAnsi="Arial" w:cs="Arial"/>
          <w:sz w:val="20"/>
          <w:szCs w:val="20"/>
          <w:highlight w:val="yellow"/>
        </w:rPr>
        <w:t>Ow</w:t>
      </w:r>
      <w:r w:rsidR="00EF0231" w:rsidRPr="00D13CC6">
        <w:rPr>
          <w:rFonts w:ascii="Arial" w:hAnsi="Arial" w:cs="Arial"/>
          <w:sz w:val="20"/>
          <w:szCs w:val="20"/>
          <w:highlight w:val="yellow"/>
        </w:rPr>
        <w:t>.</w:t>
      </w:r>
    </w:p>
    <w:p w14:paraId="6156B1A2" w14:textId="4127A73E" w:rsidR="002A2760" w:rsidRDefault="002A2760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Omgevingsvergunning: de omgevingsvergunning als bedoeld in afdeling </w:t>
      </w:r>
      <w:r w:rsidR="00C477E4">
        <w:rPr>
          <w:rFonts w:ascii="Arial" w:hAnsi="Arial" w:cs="Arial"/>
          <w:sz w:val="20"/>
          <w:szCs w:val="20"/>
        </w:rPr>
        <w:t>5.1 van de Ow.</w:t>
      </w:r>
    </w:p>
    <w:p w14:paraId="35CC6AA0" w14:textId="5B72CA3F" w:rsidR="00577D6F" w:rsidRPr="000E1E9E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E1E9E">
        <w:rPr>
          <w:rFonts w:ascii="Arial" w:hAnsi="Arial" w:cs="Arial"/>
          <w:sz w:val="20"/>
          <w:szCs w:val="20"/>
          <w:highlight w:val="yellow"/>
        </w:rPr>
        <w:t xml:space="preserve">Overeenkomst: de </w:t>
      </w:r>
      <w:r w:rsidR="003F27AC">
        <w:rPr>
          <w:rFonts w:ascii="Arial" w:hAnsi="Arial" w:cs="Arial"/>
          <w:sz w:val="20"/>
          <w:szCs w:val="20"/>
          <w:highlight w:val="yellow"/>
        </w:rPr>
        <w:t>Intentie</w:t>
      </w:r>
      <w:r w:rsidR="00E62DDD">
        <w:rPr>
          <w:rFonts w:ascii="Arial" w:hAnsi="Arial" w:cs="Arial"/>
          <w:sz w:val="20"/>
          <w:szCs w:val="20"/>
          <w:highlight w:val="yellow"/>
        </w:rPr>
        <w:t xml:space="preserve"> overeenkomst of de </w:t>
      </w:r>
      <w:r w:rsidRPr="000E1E9E">
        <w:rPr>
          <w:rFonts w:ascii="Arial" w:hAnsi="Arial" w:cs="Arial"/>
          <w:sz w:val="20"/>
          <w:szCs w:val="20"/>
          <w:highlight w:val="yellow"/>
        </w:rPr>
        <w:t xml:space="preserve">Anterieure overeenkomst </w:t>
      </w:r>
      <w:r w:rsidR="002652AC" w:rsidRPr="000E1E9E">
        <w:rPr>
          <w:rFonts w:ascii="Arial" w:hAnsi="Arial" w:cs="Arial"/>
          <w:sz w:val="20"/>
          <w:szCs w:val="20"/>
          <w:highlight w:val="yellow"/>
        </w:rPr>
        <w:t>voor</w:t>
      </w:r>
      <w:r w:rsidRPr="000E1E9E">
        <w:rPr>
          <w:rFonts w:ascii="Arial" w:hAnsi="Arial" w:cs="Arial"/>
          <w:sz w:val="20"/>
          <w:szCs w:val="20"/>
          <w:highlight w:val="yellow"/>
        </w:rPr>
        <w:t xml:space="preserve"> kostenverhaal Woningbouwplan @</w:t>
      </w:r>
      <w:r w:rsidR="002652AC" w:rsidRPr="000E1E9E">
        <w:rPr>
          <w:rFonts w:ascii="Arial" w:hAnsi="Arial" w:cs="Arial"/>
          <w:sz w:val="20"/>
          <w:szCs w:val="20"/>
          <w:highlight w:val="yellow"/>
        </w:rPr>
        <w:t xml:space="preserve"> d.d. </w:t>
      </w:r>
      <w:r w:rsidR="0076165A" w:rsidRPr="000E1E9E">
        <w:rPr>
          <w:rFonts w:ascii="Arial" w:hAnsi="Arial" w:cs="Arial"/>
          <w:sz w:val="20"/>
          <w:szCs w:val="20"/>
          <w:highlight w:val="yellow"/>
        </w:rPr>
        <w:t>@</w:t>
      </w:r>
    </w:p>
    <w:p w14:paraId="76E4FB7F" w14:textId="7D4B6F58" w:rsidR="00B41C49" w:rsidRDefault="00B41C49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>Ow: de Omgevingswet</w:t>
      </w:r>
    </w:p>
    <w:p w14:paraId="1C6A20F6" w14:textId="2CC07BAC" w:rsidR="0072222B" w:rsidRPr="005F6230" w:rsidRDefault="0072222B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5F6230">
        <w:rPr>
          <w:rFonts w:ascii="Arial" w:hAnsi="Arial" w:cs="Arial"/>
          <w:sz w:val="20"/>
          <w:szCs w:val="20"/>
          <w:highlight w:val="yellow"/>
        </w:rPr>
        <w:t xml:space="preserve">Plangebied: </w:t>
      </w:r>
      <w:r w:rsidR="007854F3" w:rsidRPr="005F6230">
        <w:rPr>
          <w:rFonts w:ascii="Arial" w:hAnsi="Arial" w:cs="Arial"/>
          <w:sz w:val="20"/>
          <w:szCs w:val="20"/>
          <w:highlight w:val="yellow"/>
        </w:rPr>
        <w:t xml:space="preserve">de percelen die gelegen zijn aan </w:t>
      </w:r>
      <w:r w:rsidRPr="005F6230">
        <w:rPr>
          <w:rFonts w:ascii="Arial" w:hAnsi="Arial" w:cs="Arial"/>
          <w:sz w:val="20"/>
          <w:szCs w:val="20"/>
          <w:highlight w:val="yellow"/>
        </w:rPr>
        <w:t>@</w:t>
      </w:r>
      <w:r w:rsidR="007854F3" w:rsidRPr="005F6230">
        <w:rPr>
          <w:rFonts w:ascii="Arial" w:hAnsi="Arial" w:cs="Arial"/>
          <w:sz w:val="20"/>
          <w:szCs w:val="20"/>
          <w:highlight w:val="yellow"/>
        </w:rPr>
        <w:t xml:space="preserve"> en nader aangeduid op de Plankaart</w:t>
      </w:r>
      <w:r w:rsidR="0035370D" w:rsidRPr="005F6230">
        <w:rPr>
          <w:rFonts w:ascii="Arial" w:hAnsi="Arial" w:cs="Arial"/>
          <w:sz w:val="20"/>
          <w:szCs w:val="20"/>
          <w:highlight w:val="yellow"/>
        </w:rPr>
        <w:t>.</w:t>
      </w:r>
    </w:p>
    <w:p w14:paraId="5F2FF03E" w14:textId="4147E9CD" w:rsidR="003A2A0E" w:rsidRPr="00EF0231" w:rsidRDefault="003A2A0E" w:rsidP="003A2A0E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EF0231">
        <w:rPr>
          <w:rFonts w:ascii="Arial" w:hAnsi="Arial" w:cs="Arial"/>
          <w:sz w:val="20"/>
          <w:szCs w:val="20"/>
          <w:highlight w:val="yellow"/>
        </w:rPr>
        <w:t>Plankosten:</w:t>
      </w:r>
      <w:r w:rsidR="00207E38">
        <w:rPr>
          <w:rFonts w:ascii="Arial" w:hAnsi="Arial" w:cs="Arial"/>
          <w:sz w:val="20"/>
          <w:szCs w:val="20"/>
          <w:highlight w:val="yellow"/>
        </w:rPr>
        <w:t xml:space="preserve"> @</w:t>
      </w:r>
    </w:p>
    <w:p w14:paraId="4EAC7A82" w14:textId="73878127" w:rsidR="003A2A0E" w:rsidRPr="00D13CC6" w:rsidRDefault="003A2A0E" w:rsidP="003A2A0E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D13CC6">
        <w:rPr>
          <w:rFonts w:ascii="Arial" w:hAnsi="Arial" w:cs="Arial"/>
          <w:sz w:val="20"/>
          <w:szCs w:val="20"/>
          <w:highlight w:val="yellow"/>
        </w:rPr>
        <w:t>Planning: de Planning @ d.d.</w:t>
      </w:r>
      <w:r w:rsidR="00C6618F" w:rsidRPr="00D13CC6">
        <w:rPr>
          <w:rFonts w:ascii="Arial" w:hAnsi="Arial" w:cs="Arial"/>
          <w:sz w:val="20"/>
          <w:szCs w:val="20"/>
          <w:highlight w:val="yellow"/>
        </w:rPr>
        <w:t xml:space="preserve"> @</w:t>
      </w:r>
    </w:p>
    <w:p w14:paraId="7E235BF4" w14:textId="124EDF9B" w:rsidR="00577D6F" w:rsidRPr="00347FFC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>Partijen: de Initiatiefnemer en de Gemeente samen.</w:t>
      </w:r>
    </w:p>
    <w:p w14:paraId="62547E35" w14:textId="7EE013A2" w:rsidR="00577D6F" w:rsidRPr="00D13CC6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D13CC6">
        <w:rPr>
          <w:rFonts w:ascii="Arial" w:hAnsi="Arial" w:cs="Arial"/>
          <w:sz w:val="20"/>
          <w:szCs w:val="20"/>
          <w:highlight w:val="yellow"/>
        </w:rPr>
        <w:t>Participatieplan</w:t>
      </w:r>
      <w:r w:rsidR="00B41C49" w:rsidRPr="00D13CC6">
        <w:rPr>
          <w:rFonts w:ascii="Arial" w:hAnsi="Arial" w:cs="Arial"/>
          <w:sz w:val="20"/>
          <w:szCs w:val="20"/>
          <w:highlight w:val="yellow"/>
        </w:rPr>
        <w:t>: het Participatieplan</w:t>
      </w:r>
      <w:r w:rsidRPr="00D13CC6">
        <w:rPr>
          <w:rFonts w:ascii="Arial" w:hAnsi="Arial" w:cs="Arial"/>
          <w:sz w:val="20"/>
          <w:szCs w:val="20"/>
          <w:highlight w:val="yellow"/>
        </w:rPr>
        <w:t xml:space="preserve"> @ d.d. @</w:t>
      </w:r>
    </w:p>
    <w:p w14:paraId="2B503675" w14:textId="2C4F448B" w:rsidR="003A2A0E" w:rsidRPr="00EF0231" w:rsidRDefault="003A2A0E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EF0231">
        <w:rPr>
          <w:rFonts w:ascii="Arial" w:hAnsi="Arial" w:cs="Arial"/>
          <w:sz w:val="20"/>
          <w:szCs w:val="20"/>
          <w:highlight w:val="yellow"/>
        </w:rPr>
        <w:t>Projectgroep: @</w:t>
      </w:r>
    </w:p>
    <w:p w14:paraId="22858B3E" w14:textId="18621FFB" w:rsidR="00306036" w:rsidRPr="0042103E" w:rsidRDefault="00306036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42103E">
        <w:rPr>
          <w:rFonts w:ascii="Arial" w:hAnsi="Arial" w:cs="Arial"/>
          <w:sz w:val="20"/>
          <w:szCs w:val="20"/>
          <w:highlight w:val="yellow"/>
        </w:rPr>
        <w:t xml:space="preserve">Publieke Voorzieningen: </w:t>
      </w:r>
      <w:r w:rsidR="00DE2FCC" w:rsidRPr="0042103E">
        <w:rPr>
          <w:rFonts w:ascii="Arial" w:hAnsi="Arial" w:cs="Arial"/>
          <w:sz w:val="20"/>
          <w:highlight w:val="yellow"/>
        </w:rPr>
        <w:t xml:space="preserve"> de werken, werkzaamheden en maatregelen</w:t>
      </w:r>
      <w:r w:rsidR="00341B45" w:rsidRPr="0042103E">
        <w:rPr>
          <w:rFonts w:ascii="Arial" w:hAnsi="Arial" w:cs="Arial"/>
          <w:sz w:val="20"/>
          <w:highlight w:val="yellow"/>
        </w:rPr>
        <w:t xml:space="preserve"> benodigd voor het Woningbouwplan </w:t>
      </w:r>
      <w:r w:rsidR="009B6DDB" w:rsidRPr="0042103E">
        <w:rPr>
          <w:rFonts w:ascii="Arial" w:hAnsi="Arial" w:cs="Arial"/>
          <w:sz w:val="20"/>
          <w:highlight w:val="yellow"/>
        </w:rPr>
        <w:t xml:space="preserve">bestaande uit @ in de (toekomstige) Openbare ruimte, </w:t>
      </w:r>
      <w:r w:rsidR="00F46F1C" w:rsidRPr="0042103E">
        <w:rPr>
          <w:rFonts w:ascii="Arial" w:hAnsi="Arial" w:cs="Arial"/>
          <w:sz w:val="20"/>
          <w:highlight w:val="yellow"/>
        </w:rPr>
        <w:t xml:space="preserve">de Bovenwijkse voorzieningen @ en </w:t>
      </w:r>
      <w:r w:rsidR="004E3981" w:rsidRPr="0042103E">
        <w:rPr>
          <w:rFonts w:ascii="Arial" w:hAnsi="Arial" w:cs="Arial"/>
          <w:sz w:val="20"/>
          <w:highlight w:val="yellow"/>
        </w:rPr>
        <w:t xml:space="preserve">@ ter compensatie van natuurwaarden, </w:t>
      </w:r>
      <w:r w:rsidR="0042103E" w:rsidRPr="0042103E">
        <w:rPr>
          <w:rFonts w:ascii="Arial" w:hAnsi="Arial" w:cs="Arial"/>
          <w:sz w:val="20"/>
          <w:highlight w:val="yellow"/>
        </w:rPr>
        <w:t>groenvoorzieningen en/of watervoorzieningen alsmede @</w:t>
      </w:r>
    </w:p>
    <w:p w14:paraId="5E7AB163" w14:textId="79FE0EAA" w:rsidR="00577D6F" w:rsidRPr="000E1E9E" w:rsidRDefault="00B41C49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E1E9E">
        <w:rPr>
          <w:rFonts w:ascii="Arial" w:hAnsi="Arial" w:cs="Arial"/>
          <w:sz w:val="20"/>
          <w:szCs w:val="20"/>
          <w:highlight w:val="yellow"/>
        </w:rPr>
        <w:t xml:space="preserve">PvE: het </w:t>
      </w:r>
      <w:r w:rsidR="00577D6F" w:rsidRPr="000E1E9E">
        <w:rPr>
          <w:rFonts w:ascii="Arial" w:hAnsi="Arial" w:cs="Arial"/>
          <w:sz w:val="20"/>
          <w:szCs w:val="20"/>
          <w:highlight w:val="yellow"/>
        </w:rPr>
        <w:t>Programma van Eisen @ d.d. @</w:t>
      </w:r>
    </w:p>
    <w:p w14:paraId="23F3FFA7" w14:textId="77777777" w:rsidR="00577D6F" w:rsidRPr="000E1E9E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E1E9E">
        <w:rPr>
          <w:rFonts w:ascii="Arial" w:hAnsi="Arial" w:cs="Arial"/>
          <w:sz w:val="20"/>
          <w:szCs w:val="20"/>
          <w:highlight w:val="yellow"/>
        </w:rPr>
        <w:t>Raad: de raad van de gemeente @</w:t>
      </w:r>
    </w:p>
    <w:p w14:paraId="0CCC1A32" w14:textId="59558551" w:rsidR="00B41C49" w:rsidRPr="000E1E9E" w:rsidRDefault="00B41C49" w:rsidP="00B41C49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E1E9E">
        <w:rPr>
          <w:rFonts w:ascii="Arial" w:hAnsi="Arial" w:cs="Arial"/>
          <w:sz w:val="20"/>
          <w:szCs w:val="20"/>
          <w:highlight w:val="yellow"/>
        </w:rPr>
        <w:t xml:space="preserve">Regionale Woondeal: </w:t>
      </w:r>
      <w:r w:rsidR="003A2A0E" w:rsidRPr="000E1E9E">
        <w:rPr>
          <w:rFonts w:ascii="Arial" w:hAnsi="Arial" w:cs="Arial"/>
          <w:sz w:val="20"/>
          <w:szCs w:val="20"/>
          <w:highlight w:val="yellow"/>
        </w:rPr>
        <w:t xml:space="preserve">de Regionale Woondeal </w:t>
      </w:r>
      <w:r w:rsidR="003A2A0E" w:rsidRPr="000E1E9E">
        <w:rPr>
          <w:rFonts w:ascii="Arial" w:hAnsi="Arial" w:cs="Arial"/>
          <w:sz w:val="20"/>
          <w:highlight w:val="yellow"/>
        </w:rPr>
        <w:t>West-Brabant d.d. @ of Stedelijke regio Breda-Tilburg d.d. @ of Noordoost-Brabant d.d. @ of Zuidoost-Brabant d.d. @</w:t>
      </w:r>
    </w:p>
    <w:p w14:paraId="10B66B79" w14:textId="6771766F" w:rsidR="003A2A0E" w:rsidRPr="00EF0231" w:rsidRDefault="003A2A0E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EF0231">
        <w:rPr>
          <w:rFonts w:ascii="Arial" w:hAnsi="Arial" w:cs="Arial"/>
          <w:sz w:val="20"/>
          <w:szCs w:val="20"/>
          <w:highlight w:val="yellow"/>
        </w:rPr>
        <w:t>Samenwerkingsstructuur: @</w:t>
      </w:r>
    </w:p>
    <w:p w14:paraId="52DEE663" w14:textId="07719A1B" w:rsidR="00306036" w:rsidRPr="002726FE" w:rsidRDefault="00306036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2726FE">
        <w:rPr>
          <w:rFonts w:ascii="Arial" w:hAnsi="Arial" w:cs="Arial"/>
          <w:sz w:val="20"/>
          <w:szCs w:val="20"/>
          <w:highlight w:val="yellow"/>
        </w:rPr>
        <w:t>Slopen:</w:t>
      </w:r>
      <w:r w:rsidR="003A2A0E" w:rsidRPr="002726F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4872A1" w:rsidRPr="002726FE">
        <w:rPr>
          <w:rFonts w:ascii="Arial" w:hAnsi="Arial" w:cs="Arial"/>
          <w:sz w:val="20"/>
          <w:highlight w:val="yellow"/>
        </w:rPr>
        <w:t xml:space="preserve"> het ontdoen van eventueel in/op de Betrokken percelen aanwezige bovengrondse en ondergrondse opstallen/obstakels (kabels en leidingen) en zonodig saneren opdat de grond voldoet aan de categorie-indeling klasse “@”</w:t>
      </w:r>
      <w:r w:rsidR="002726FE" w:rsidRPr="002726FE">
        <w:rPr>
          <w:rFonts w:ascii="Arial" w:hAnsi="Arial" w:cs="Arial"/>
          <w:sz w:val="20"/>
          <w:highlight w:val="yellow"/>
        </w:rPr>
        <w:t xml:space="preserve"> voorafgaand aan het Bouwrijp maken</w:t>
      </w:r>
      <w:r w:rsidR="004872A1" w:rsidRPr="002726FE">
        <w:rPr>
          <w:rFonts w:ascii="Arial" w:hAnsi="Arial" w:cs="Arial"/>
          <w:sz w:val="20"/>
          <w:highlight w:val="yellow"/>
        </w:rPr>
        <w:t>.</w:t>
      </w:r>
    </w:p>
    <w:p w14:paraId="62A37797" w14:textId="28D37291" w:rsidR="00577D6F" w:rsidRPr="000E1E9E" w:rsidRDefault="00577D6F" w:rsidP="00FB54A5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E1E9E">
        <w:rPr>
          <w:rFonts w:ascii="Arial" w:hAnsi="Arial" w:cs="Arial"/>
          <w:sz w:val="20"/>
          <w:szCs w:val="20"/>
          <w:highlight w:val="yellow"/>
        </w:rPr>
        <w:t>Stedenbouwkundigplan @ d.d. @</w:t>
      </w:r>
    </w:p>
    <w:p w14:paraId="61021EFA" w14:textId="77777777" w:rsidR="00B41C49" w:rsidRPr="00347FFC" w:rsidRDefault="00B41C49" w:rsidP="00B41C49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>VO: het Voorlopig Ontwerp</w:t>
      </w:r>
    </w:p>
    <w:p w14:paraId="19EB738B" w14:textId="2360EF88" w:rsidR="003A2A0E" w:rsidRPr="00347FFC" w:rsidRDefault="003A2A0E" w:rsidP="00B41C49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7FFC">
        <w:rPr>
          <w:rFonts w:ascii="Arial" w:hAnsi="Arial" w:cs="Arial"/>
          <w:sz w:val="20"/>
          <w:szCs w:val="20"/>
        </w:rPr>
        <w:t xml:space="preserve">Wet bibob: </w:t>
      </w:r>
      <w:bookmarkStart w:id="1" w:name="_Hlk196169699"/>
      <w:r w:rsidRPr="00347FFC">
        <w:rPr>
          <w:rFonts w:ascii="Arial" w:hAnsi="Arial" w:cs="Arial"/>
          <w:sz w:val="20"/>
          <w:szCs w:val="20"/>
        </w:rPr>
        <w:t>de Wet bevordering integriteitsbeoordelingen door het openbaar bestuur</w:t>
      </w:r>
      <w:bookmarkEnd w:id="1"/>
    </w:p>
    <w:p w14:paraId="4435FFB9" w14:textId="2C31C0F2" w:rsidR="00B41C49" w:rsidRPr="000E1E9E" w:rsidRDefault="00B41C49" w:rsidP="00B41C49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E1E9E">
        <w:rPr>
          <w:rFonts w:ascii="Arial" w:hAnsi="Arial" w:cs="Arial"/>
          <w:sz w:val="20"/>
          <w:szCs w:val="20"/>
          <w:highlight w:val="yellow"/>
        </w:rPr>
        <w:t>Woningbouwplan:</w:t>
      </w:r>
      <w:r w:rsidR="003A2A0E" w:rsidRPr="000E1E9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FA3C59" w:rsidRPr="000E1E9E">
        <w:rPr>
          <w:rFonts w:ascii="Arial" w:hAnsi="Arial" w:cs="Arial"/>
          <w:sz w:val="20"/>
          <w:highlight w:val="yellow"/>
        </w:rPr>
        <w:t xml:space="preserve">@ woningen/appartementen met de daarbij behorende voorzieningen </w:t>
      </w:r>
    </w:p>
    <w:p w14:paraId="2A900355" w14:textId="0BC3D42A" w:rsidR="00577D6F" w:rsidRPr="00EF0231" w:rsidRDefault="00577D6F" w:rsidP="00EF0231">
      <w:pPr>
        <w:pStyle w:val="Lijstaline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EF0231">
        <w:rPr>
          <w:rFonts w:ascii="Arial" w:hAnsi="Arial" w:cs="Arial"/>
          <w:sz w:val="20"/>
          <w:szCs w:val="20"/>
          <w:highlight w:val="yellow"/>
        </w:rPr>
        <w:t>Woonrijp</w:t>
      </w:r>
      <w:r w:rsidR="00B41C49" w:rsidRPr="00EF0231">
        <w:rPr>
          <w:rFonts w:ascii="Arial" w:hAnsi="Arial" w:cs="Arial"/>
          <w:sz w:val="20"/>
          <w:szCs w:val="20"/>
          <w:highlight w:val="yellow"/>
        </w:rPr>
        <w:t xml:space="preserve"> maken</w:t>
      </w:r>
      <w:r w:rsidRPr="00EF0231">
        <w:rPr>
          <w:rFonts w:ascii="Arial" w:hAnsi="Arial" w:cs="Arial"/>
          <w:sz w:val="20"/>
          <w:szCs w:val="20"/>
          <w:highlight w:val="yellow"/>
        </w:rPr>
        <w:t xml:space="preserve">: </w:t>
      </w:r>
      <w:r w:rsidR="009D0DBE">
        <w:rPr>
          <w:rFonts w:ascii="Arial" w:hAnsi="Arial" w:cs="Arial"/>
          <w:sz w:val="20"/>
          <w:szCs w:val="20"/>
          <w:highlight w:val="yellow"/>
        </w:rPr>
        <w:t>het afwerken van de (toekomstige) Openbare ruimte dit betreft @.</w:t>
      </w:r>
    </w:p>
    <w:sectPr w:rsidR="00577D6F" w:rsidRPr="00EF023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eur" w:initials="A">
    <w:p w14:paraId="3EF16DFB" w14:textId="77777777" w:rsidR="00225B3B" w:rsidRDefault="00577D6F" w:rsidP="00225B3B">
      <w:pPr>
        <w:pStyle w:val="Tekstopmerking"/>
      </w:pPr>
      <w:r>
        <w:rPr>
          <w:rStyle w:val="Verwijzingopmerking"/>
        </w:rPr>
        <w:annotationRef/>
      </w:r>
      <w:r w:rsidR="00225B3B">
        <w:rPr>
          <w:u w:val="single"/>
        </w:rPr>
        <w:t>Toelichting:</w:t>
      </w:r>
    </w:p>
    <w:p w14:paraId="4F151E8F" w14:textId="77777777" w:rsidR="00225B3B" w:rsidRDefault="00225B3B" w:rsidP="00225B3B">
      <w:pPr>
        <w:pStyle w:val="Tekstopmerking"/>
      </w:pPr>
      <w:r>
        <w:t>Definities verwijderen indien niet van toepassing en toevoegen indien ook nog andere definities worden gebruikt.</w:t>
      </w:r>
    </w:p>
    <w:p w14:paraId="78422EC2" w14:textId="77777777" w:rsidR="00225B3B" w:rsidRDefault="00225B3B" w:rsidP="00225B3B">
      <w:pPr>
        <w:pStyle w:val="Tekstopmerking"/>
      </w:pPr>
    </w:p>
    <w:p w14:paraId="35163629" w14:textId="77777777" w:rsidR="00225B3B" w:rsidRDefault="00225B3B" w:rsidP="00225B3B">
      <w:pPr>
        <w:pStyle w:val="Tekstopmerking"/>
      </w:pPr>
      <w:r>
        <w:t xml:space="preserve">De met een gele arcering opgenomen begrippen zijn altijd project specifiek. Neem hier steeds de concrete afspraken en situatie op.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1636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163629" w16cid:durableId="6A117E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2E4D" w14:textId="77777777" w:rsidR="0057292F" w:rsidRDefault="0057292F" w:rsidP="00561E49">
      <w:pPr>
        <w:spacing w:after="0" w:line="240" w:lineRule="auto"/>
      </w:pPr>
      <w:r>
        <w:separator/>
      </w:r>
    </w:p>
  </w:endnote>
  <w:endnote w:type="continuationSeparator" w:id="0">
    <w:p w14:paraId="4251738B" w14:textId="77777777" w:rsidR="0057292F" w:rsidRDefault="0057292F" w:rsidP="0056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69BE" w14:textId="78F36346" w:rsidR="00561E49" w:rsidRPr="00165D05" w:rsidRDefault="00E532EC" w:rsidP="00561E49">
    <w:pPr>
      <w:pStyle w:val="Voettekst"/>
      <w:rPr>
        <w:rFonts w:ascii="Arial" w:hAnsi="Arial" w:cs="Arial"/>
        <w:i/>
        <w:iCs/>
        <w:color w:val="FF0000"/>
        <w:sz w:val="18"/>
        <w:szCs w:val="18"/>
      </w:rPr>
    </w:pPr>
    <w:r w:rsidRPr="00165D05">
      <w:rPr>
        <w:i/>
        <w:iCs/>
        <w:sz w:val="18"/>
        <w:szCs w:val="18"/>
      </w:rPr>
      <w:t>Begrippenlijst</w:t>
    </w:r>
    <w:r w:rsidR="00165D05" w:rsidRPr="00165D05">
      <w:rPr>
        <w:i/>
        <w:iCs/>
        <w:sz w:val="18"/>
        <w:szCs w:val="18"/>
      </w:rPr>
      <w:t xml:space="preserve"> Brabants model-</w:t>
    </w:r>
    <w:r w:rsidR="00CE64E0">
      <w:rPr>
        <w:i/>
        <w:iCs/>
        <w:sz w:val="18"/>
        <w:szCs w:val="18"/>
      </w:rPr>
      <w:t xml:space="preserve">Intentie- en </w:t>
    </w:r>
    <w:r w:rsidR="00165D05" w:rsidRPr="00165D05">
      <w:rPr>
        <w:i/>
        <w:iCs/>
        <w:sz w:val="18"/>
        <w:szCs w:val="18"/>
      </w:rPr>
      <w:t>Anterieure overeenkomst kostenverhaal</w:t>
    </w:r>
    <w:r w:rsidR="0043696E">
      <w:rPr>
        <w:i/>
        <w:iCs/>
        <w:sz w:val="18"/>
        <w:szCs w:val="18"/>
      </w:rPr>
      <w:t>-</w:t>
    </w:r>
    <w:r w:rsidR="00165D05" w:rsidRPr="00165D05">
      <w:rPr>
        <w:i/>
        <w:iCs/>
        <w:sz w:val="18"/>
        <w:szCs w:val="18"/>
      </w:rPr>
      <w:t xml:space="preserve"> </w:t>
    </w:r>
    <w:r w:rsidR="00CE64E0">
      <w:rPr>
        <w:i/>
        <w:iCs/>
        <w:sz w:val="18"/>
        <w:szCs w:val="18"/>
      </w:rPr>
      <w:t>juni 2026</w:t>
    </w:r>
    <w:sdt>
      <w:sdtPr>
        <w:rPr>
          <w:i/>
          <w:iCs/>
          <w:sz w:val="18"/>
          <w:szCs w:val="18"/>
        </w:rPr>
        <w:id w:val="-1458870883"/>
        <w:docPartObj>
          <w:docPartGallery w:val="Page Numbers (Bottom of Page)"/>
          <w:docPartUnique/>
        </w:docPartObj>
      </w:sdtPr>
      <w:sdtContent>
        <w:r w:rsidR="00561E49" w:rsidRPr="00165D05">
          <w:rPr>
            <w:i/>
            <w:iCs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DF0CDDD" wp14:editId="0D0095A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762298433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66B81" w14:textId="1A39592D" w:rsidR="00561E49" w:rsidRPr="00CE64E0" w:rsidRDefault="00561E4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  <w:sz w:val="18"/>
                                  <w:szCs w:val="18"/>
                                </w:rPr>
                              </w:pPr>
                              <w:r w:rsidRPr="00CE64E0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CE64E0">
                                <w:rPr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CE64E0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CE64E0">
                                <w:rPr>
                                  <w:color w:val="E97132" w:themeColor="accent2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E64E0">
                                <w:rPr>
                                  <w:color w:val="E97132" w:themeColor="accent2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CE64E0">
                                <w:rPr>
                                  <w:color w:val="E97132" w:themeColor="accent2"/>
                                  <w:sz w:val="18"/>
                                  <w:szCs w:val="18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DF0CDDD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A166B81" w14:textId="1A39592D" w:rsidR="00561E49" w:rsidRPr="00CE64E0" w:rsidRDefault="00561E4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  <w:sz w:val="18"/>
                            <w:szCs w:val="18"/>
                          </w:rPr>
                        </w:pPr>
                        <w:r w:rsidRPr="00CE64E0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CE64E0">
                          <w:rPr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CE64E0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CE64E0">
                          <w:rPr>
                            <w:color w:val="E97132" w:themeColor="accent2"/>
                            <w:sz w:val="18"/>
                            <w:szCs w:val="18"/>
                          </w:rPr>
                          <w:t>2</w:t>
                        </w:r>
                        <w:r w:rsidRPr="00CE64E0">
                          <w:rPr>
                            <w:color w:val="E97132" w:themeColor="accent2"/>
                            <w:sz w:val="18"/>
                            <w:szCs w:val="18"/>
                          </w:rPr>
                          <w:fldChar w:fldCharType="end"/>
                        </w:r>
                        <w:r w:rsidRPr="00CE64E0">
                          <w:rPr>
                            <w:color w:val="E97132" w:themeColor="accent2"/>
                            <w:sz w:val="18"/>
                            <w:szCs w:val="18"/>
                          </w:rPr>
                          <w:t>/2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61E49" w:rsidRPr="00165D05">
      <w:rPr>
        <w:i/>
        <w:iCs/>
        <w:sz w:val="18"/>
        <w:szCs w:val="18"/>
      </w:rPr>
      <w:t xml:space="preserve"> </w:t>
    </w:r>
  </w:p>
  <w:p w14:paraId="6F2B3ED5" w14:textId="67A97683" w:rsidR="00561E49" w:rsidRDefault="00561E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C563" w14:textId="77777777" w:rsidR="0057292F" w:rsidRDefault="0057292F" w:rsidP="00561E49">
      <w:pPr>
        <w:spacing w:after="0" w:line="240" w:lineRule="auto"/>
      </w:pPr>
      <w:r>
        <w:separator/>
      </w:r>
    </w:p>
  </w:footnote>
  <w:footnote w:type="continuationSeparator" w:id="0">
    <w:p w14:paraId="6F156FEE" w14:textId="77777777" w:rsidR="0057292F" w:rsidRDefault="0057292F" w:rsidP="0056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6256"/>
    <w:multiLevelType w:val="hybridMultilevel"/>
    <w:tmpl w:val="9AB6D5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59405B"/>
    <w:multiLevelType w:val="multilevel"/>
    <w:tmpl w:val="D63A1270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Verdana" w:hAnsi="Verdana" w:hint="default"/>
        <w:b w:val="0"/>
        <w:i w:val="0"/>
        <w:spacing w:val="22"/>
        <w:sz w:val="18"/>
        <w:szCs w:val="18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Verdana" w:hAnsi="Verdana" w:hint="default"/>
        <w:b w:val="0"/>
        <w:i w:val="0"/>
        <w:spacing w:val="34"/>
        <w:sz w:val="18"/>
        <w:szCs w:val="18"/>
        <w:u w:val="none"/>
      </w:rPr>
    </w:lvl>
    <w:lvl w:ilvl="2">
      <w:start w:val="1"/>
      <w:numFmt w:val="lowerLetter"/>
      <w:lvlText w:val="%3)"/>
      <w:lvlJc w:val="left"/>
      <w:pPr>
        <w:tabs>
          <w:tab w:val="num" w:pos="1588"/>
        </w:tabs>
        <w:ind w:left="1588" w:hanging="567"/>
      </w:pPr>
      <w:rPr>
        <w:rFonts w:hint="default"/>
        <w:b w:val="0"/>
        <w:i w:val="0"/>
        <w:spacing w:val="22"/>
        <w:sz w:val="18"/>
        <w:szCs w:val="18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Verdana" w:hAnsi="Verdana" w:hint="default"/>
        <w:b w:val="0"/>
        <w:i w:val="0"/>
        <w:spacing w:val="26"/>
        <w:sz w:val="18"/>
        <w:szCs w:val="18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 w15:restartNumberingAfterBreak="0">
    <w:nsid w:val="767A6AEA"/>
    <w:multiLevelType w:val="hybridMultilevel"/>
    <w:tmpl w:val="DD0EF8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E76534"/>
    <w:multiLevelType w:val="hybridMultilevel"/>
    <w:tmpl w:val="903499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028618">
    <w:abstractNumId w:val="1"/>
  </w:num>
  <w:num w:numId="2" w16cid:durableId="766580018">
    <w:abstractNumId w:val="0"/>
  </w:num>
  <w:num w:numId="3" w16cid:durableId="1730808509">
    <w:abstractNumId w:val="2"/>
  </w:num>
  <w:num w:numId="4" w16cid:durableId="146107328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eur">
    <w15:presenceInfo w15:providerId="None" w15:userId="Au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C0"/>
    <w:rsid w:val="000077D3"/>
    <w:rsid w:val="000358DB"/>
    <w:rsid w:val="00060676"/>
    <w:rsid w:val="000C7427"/>
    <w:rsid w:val="000E1E9E"/>
    <w:rsid w:val="00165D05"/>
    <w:rsid w:val="0017615D"/>
    <w:rsid w:val="001A165B"/>
    <w:rsid w:val="001B4BC0"/>
    <w:rsid w:val="001E2F38"/>
    <w:rsid w:val="001E4526"/>
    <w:rsid w:val="00207E38"/>
    <w:rsid w:val="00223474"/>
    <w:rsid w:val="00225B3B"/>
    <w:rsid w:val="00225DD8"/>
    <w:rsid w:val="002342AB"/>
    <w:rsid w:val="0024786D"/>
    <w:rsid w:val="002626E9"/>
    <w:rsid w:val="002648E1"/>
    <w:rsid w:val="00264C98"/>
    <w:rsid w:val="002652AC"/>
    <w:rsid w:val="002726FE"/>
    <w:rsid w:val="002A2117"/>
    <w:rsid w:val="002A2760"/>
    <w:rsid w:val="002C6A72"/>
    <w:rsid w:val="002D7B0D"/>
    <w:rsid w:val="002E1064"/>
    <w:rsid w:val="00306036"/>
    <w:rsid w:val="00341B45"/>
    <w:rsid w:val="00347FFC"/>
    <w:rsid w:val="0035370D"/>
    <w:rsid w:val="003660EB"/>
    <w:rsid w:val="00381C25"/>
    <w:rsid w:val="00394AA6"/>
    <w:rsid w:val="003A2A0E"/>
    <w:rsid w:val="003C6D1E"/>
    <w:rsid w:val="003D4CED"/>
    <w:rsid w:val="003E0FA5"/>
    <w:rsid w:val="003E1763"/>
    <w:rsid w:val="003F27AC"/>
    <w:rsid w:val="0042103E"/>
    <w:rsid w:val="0043696E"/>
    <w:rsid w:val="004872A1"/>
    <w:rsid w:val="004A594C"/>
    <w:rsid w:val="004E3981"/>
    <w:rsid w:val="004F0A2E"/>
    <w:rsid w:val="00525FF6"/>
    <w:rsid w:val="0053382F"/>
    <w:rsid w:val="00540452"/>
    <w:rsid w:val="00561E49"/>
    <w:rsid w:val="00566631"/>
    <w:rsid w:val="00567A84"/>
    <w:rsid w:val="0057292F"/>
    <w:rsid w:val="005735D0"/>
    <w:rsid w:val="00577D6F"/>
    <w:rsid w:val="005B7C14"/>
    <w:rsid w:val="005F212B"/>
    <w:rsid w:val="005F23AE"/>
    <w:rsid w:val="005F5674"/>
    <w:rsid w:val="005F6230"/>
    <w:rsid w:val="0060134D"/>
    <w:rsid w:val="006024AA"/>
    <w:rsid w:val="00653847"/>
    <w:rsid w:val="00667243"/>
    <w:rsid w:val="00683E4E"/>
    <w:rsid w:val="006B5A9B"/>
    <w:rsid w:val="00701903"/>
    <w:rsid w:val="007029E4"/>
    <w:rsid w:val="00704E3D"/>
    <w:rsid w:val="00712C5D"/>
    <w:rsid w:val="0072222B"/>
    <w:rsid w:val="00722DC5"/>
    <w:rsid w:val="00724334"/>
    <w:rsid w:val="00760402"/>
    <w:rsid w:val="0076165A"/>
    <w:rsid w:val="00776692"/>
    <w:rsid w:val="00781989"/>
    <w:rsid w:val="007854F3"/>
    <w:rsid w:val="007B63D8"/>
    <w:rsid w:val="007B6E27"/>
    <w:rsid w:val="0080513E"/>
    <w:rsid w:val="00880D65"/>
    <w:rsid w:val="00881DA6"/>
    <w:rsid w:val="00891C5F"/>
    <w:rsid w:val="008B56E8"/>
    <w:rsid w:val="008C0C03"/>
    <w:rsid w:val="008C5B6A"/>
    <w:rsid w:val="008C75BA"/>
    <w:rsid w:val="008D301F"/>
    <w:rsid w:val="008E0C16"/>
    <w:rsid w:val="008F7328"/>
    <w:rsid w:val="00921F90"/>
    <w:rsid w:val="00924D20"/>
    <w:rsid w:val="00962BB5"/>
    <w:rsid w:val="009838A9"/>
    <w:rsid w:val="009B6DDB"/>
    <w:rsid w:val="009D0DBE"/>
    <w:rsid w:val="00A05CD0"/>
    <w:rsid w:val="00A065B6"/>
    <w:rsid w:val="00A35F70"/>
    <w:rsid w:val="00A4245B"/>
    <w:rsid w:val="00A83C34"/>
    <w:rsid w:val="00B14423"/>
    <w:rsid w:val="00B3428E"/>
    <w:rsid w:val="00B41C49"/>
    <w:rsid w:val="00B775D2"/>
    <w:rsid w:val="00BA5B11"/>
    <w:rsid w:val="00BD7C49"/>
    <w:rsid w:val="00BE09D1"/>
    <w:rsid w:val="00C300EA"/>
    <w:rsid w:val="00C477E4"/>
    <w:rsid w:val="00C5200E"/>
    <w:rsid w:val="00C55719"/>
    <w:rsid w:val="00C616A9"/>
    <w:rsid w:val="00C6618F"/>
    <w:rsid w:val="00C705D2"/>
    <w:rsid w:val="00C76962"/>
    <w:rsid w:val="00C86701"/>
    <w:rsid w:val="00CA3733"/>
    <w:rsid w:val="00CB1D8D"/>
    <w:rsid w:val="00CC0106"/>
    <w:rsid w:val="00CC2571"/>
    <w:rsid w:val="00CE64E0"/>
    <w:rsid w:val="00D13CC6"/>
    <w:rsid w:val="00D737B0"/>
    <w:rsid w:val="00D76495"/>
    <w:rsid w:val="00D90E1B"/>
    <w:rsid w:val="00DE2FCC"/>
    <w:rsid w:val="00E302F0"/>
    <w:rsid w:val="00E3100A"/>
    <w:rsid w:val="00E532EC"/>
    <w:rsid w:val="00E551A1"/>
    <w:rsid w:val="00E62DDD"/>
    <w:rsid w:val="00E82B5C"/>
    <w:rsid w:val="00EB3961"/>
    <w:rsid w:val="00EF0231"/>
    <w:rsid w:val="00F24F9B"/>
    <w:rsid w:val="00F46F1C"/>
    <w:rsid w:val="00F6276E"/>
    <w:rsid w:val="00F6367A"/>
    <w:rsid w:val="00F7468D"/>
    <w:rsid w:val="00F76B69"/>
    <w:rsid w:val="00F82DF5"/>
    <w:rsid w:val="00F8560F"/>
    <w:rsid w:val="00F95D0D"/>
    <w:rsid w:val="00F97EA6"/>
    <w:rsid w:val="00FA3C59"/>
    <w:rsid w:val="00FB54A5"/>
    <w:rsid w:val="00FC2AF2"/>
    <w:rsid w:val="00FC3A35"/>
    <w:rsid w:val="00FC5FAB"/>
    <w:rsid w:val="00FD7CC4"/>
    <w:rsid w:val="00FE6502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4F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4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4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4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4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4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4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4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4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4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4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4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4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4B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4B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4B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4B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4B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4B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4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4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4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4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4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4B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4B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4B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4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4B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4BC0"/>
    <w:rPr>
      <w:b/>
      <w:bCs/>
      <w:smallCaps/>
      <w:color w:val="0F4761" w:themeColor="accent1" w:themeShade="BF"/>
      <w:spacing w:val="5"/>
    </w:rPr>
  </w:style>
  <w:style w:type="paragraph" w:customStyle="1" w:styleId="Alineanummering1">
    <w:name w:val="Alineanummering 1"/>
    <w:basedOn w:val="Standaard"/>
    <w:rsid w:val="00577D6F"/>
    <w:pPr>
      <w:keepNext/>
      <w:numPr>
        <w:numId w:val="1"/>
      </w:numPr>
      <w:suppressAutoHyphens/>
      <w:spacing w:after="260" w:line="288" w:lineRule="auto"/>
      <w:jc w:val="both"/>
    </w:pPr>
    <w:rPr>
      <w:rFonts w:ascii="Garamond" w:eastAsia="Times New Roman" w:hAnsi="Garamond" w:cs="Times New Roman"/>
      <w:b/>
      <w:kern w:val="0"/>
      <w:szCs w:val="20"/>
      <w:lang w:eastAsia="nl-NL"/>
      <w14:ligatures w14:val="none"/>
    </w:rPr>
  </w:style>
  <w:style w:type="paragraph" w:customStyle="1" w:styleId="Alineanummering2">
    <w:name w:val="Alineanummering 2"/>
    <w:basedOn w:val="Standaard"/>
    <w:rsid w:val="00577D6F"/>
    <w:pPr>
      <w:numPr>
        <w:ilvl w:val="1"/>
        <w:numId w:val="1"/>
      </w:numPr>
      <w:suppressAutoHyphens/>
      <w:spacing w:after="260" w:line="288" w:lineRule="auto"/>
      <w:jc w:val="both"/>
    </w:pPr>
    <w:rPr>
      <w:rFonts w:ascii="Garamond" w:eastAsia="Times New Roman" w:hAnsi="Garamond" w:cs="Times New Roman"/>
      <w:kern w:val="0"/>
      <w:szCs w:val="20"/>
      <w:lang w:eastAsia="nl-NL"/>
      <w14:ligatures w14:val="none"/>
    </w:rPr>
  </w:style>
  <w:style w:type="paragraph" w:customStyle="1" w:styleId="Alineanummering4">
    <w:name w:val="Alineanummering 4"/>
    <w:basedOn w:val="Standaard"/>
    <w:rsid w:val="00577D6F"/>
    <w:pPr>
      <w:numPr>
        <w:ilvl w:val="3"/>
        <w:numId w:val="1"/>
      </w:numPr>
      <w:suppressAutoHyphens/>
      <w:spacing w:after="260" w:line="288" w:lineRule="auto"/>
      <w:jc w:val="both"/>
    </w:pPr>
    <w:rPr>
      <w:rFonts w:ascii="Garamond" w:eastAsia="Times New Roman" w:hAnsi="Garamond" w:cs="Times New Roman"/>
      <w:kern w:val="0"/>
      <w:szCs w:val="20"/>
      <w:lang w:eastAsia="nl-NL"/>
      <w14:ligatures w14:val="none"/>
    </w:rPr>
  </w:style>
  <w:style w:type="character" w:styleId="Verwijzingopmerking">
    <w:name w:val="annotation reference"/>
    <w:uiPriority w:val="99"/>
    <w:rsid w:val="00577D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577D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77D6F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276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276E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F6276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6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1E49"/>
  </w:style>
  <w:style w:type="paragraph" w:styleId="Voettekst">
    <w:name w:val="footer"/>
    <w:basedOn w:val="Standaard"/>
    <w:link w:val="VoettekstChar"/>
    <w:unhideWhenUsed/>
    <w:rsid w:val="0056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561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2026-06-23T09:35:00Z</dcterms:created>
  <dcterms:modified xsi:type="dcterms:W3CDTF">2026-06-23T09:47:00Z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65262-5df6-455e-bf48-5928a5d868f6_Enabled">
    <vt:lpwstr>true</vt:lpwstr>
  </property>
  <property fmtid="{D5CDD505-2E9C-101B-9397-08002B2CF9AE}" pid="3" name="MSIP_Label_b8665262-5df6-455e-bf48-5928a5d868f6_SetDate">
    <vt:lpwstr>2026-06-23T09:35:47Z</vt:lpwstr>
  </property>
  <property fmtid="{D5CDD505-2E9C-101B-9397-08002B2CF9AE}" pid="4" name="MSIP_Label_b8665262-5df6-455e-bf48-5928a5d868f6_Method">
    <vt:lpwstr>Standard</vt:lpwstr>
  </property>
  <property fmtid="{D5CDD505-2E9C-101B-9397-08002B2CF9AE}" pid="5" name="MSIP_Label_b8665262-5df6-455e-bf48-5928a5d868f6_Name">
    <vt:lpwstr>Vertrouwelijk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ActionId">
    <vt:lpwstr>1c383485-361b-4912-a1e0-c447519f3f2d</vt:lpwstr>
  </property>
  <property fmtid="{D5CDD505-2E9C-101B-9397-08002B2CF9AE}" pid="8" name="MSIP_Label_b8665262-5df6-455e-bf48-5928a5d868f6_ContentBits">
    <vt:lpwstr>0</vt:lpwstr>
  </property>
  <property fmtid="{D5CDD505-2E9C-101B-9397-08002B2CF9AE}" pid="9" name="MSIP_Label_b8665262-5df6-455e-bf48-5928a5d868f6_Tag">
    <vt:lpwstr>10, 3, 0, 1</vt:lpwstr>
  </property>
</Properties>
</file>